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39" w:rsidRPr="004245A7" w:rsidRDefault="001A3D39" w:rsidP="001A3D3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u w:val="single"/>
          <w:lang w:eastAsia="es-AR"/>
        </w:rPr>
      </w:pPr>
      <w:r w:rsidRPr="004245A7">
        <w:rPr>
          <w:rFonts w:ascii="Segoe UI" w:eastAsia="Times New Roman" w:hAnsi="Segoe UI" w:cs="Segoe UI"/>
          <w:sz w:val="20"/>
          <w:szCs w:val="20"/>
          <w:u w:val="single"/>
          <w:lang w:eastAsia="es-AR"/>
        </w:rPr>
        <w:t>PROGRAMA DE LA UNIDAD III</w:t>
      </w:r>
    </w:p>
    <w:p w:rsidR="001A3D39" w:rsidRPr="004245A7" w:rsidRDefault="001A3D39" w:rsidP="00971B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AR"/>
        </w:rPr>
      </w:pPr>
    </w:p>
    <w:p w:rsidR="00971B89" w:rsidRPr="004245A7" w:rsidRDefault="001A3D39" w:rsidP="00971B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AR"/>
        </w:rPr>
      </w:pPr>
      <w:r w:rsidRPr="004245A7">
        <w:rPr>
          <w:rFonts w:ascii="Segoe UI" w:eastAsia="Times New Roman" w:hAnsi="Segoe UI" w:cs="Segoe UI"/>
          <w:sz w:val="20"/>
          <w:szCs w:val="20"/>
          <w:lang w:eastAsia="es-AR"/>
        </w:rPr>
        <w:t xml:space="preserve">1- </w:t>
      </w:r>
      <w:r w:rsidR="00971B89" w:rsidRPr="004245A7">
        <w:rPr>
          <w:rFonts w:ascii="Segoe UI" w:eastAsia="Times New Roman" w:hAnsi="Segoe UI" w:cs="Segoe UI"/>
          <w:sz w:val="20"/>
          <w:szCs w:val="20"/>
          <w:lang w:eastAsia="es-AR"/>
        </w:rPr>
        <w:t>Origen del Estado y</w:t>
      </w:r>
      <w:r w:rsidR="005C0B64" w:rsidRPr="004245A7">
        <w:rPr>
          <w:rFonts w:ascii="Segoe UI" w:eastAsia="Times New Roman" w:hAnsi="Segoe UI" w:cs="Segoe UI"/>
          <w:sz w:val="20"/>
          <w:szCs w:val="20"/>
          <w:lang w:eastAsia="es-AR"/>
        </w:rPr>
        <w:t xml:space="preserve"> del</w:t>
      </w:r>
      <w:r w:rsidR="00971B89" w:rsidRPr="004245A7">
        <w:rPr>
          <w:rFonts w:ascii="Segoe UI" w:eastAsia="Times New Roman" w:hAnsi="Segoe UI" w:cs="Segoe UI"/>
          <w:sz w:val="20"/>
          <w:szCs w:val="20"/>
          <w:lang w:eastAsia="es-AR"/>
        </w:rPr>
        <w:t xml:space="preserve"> federalismo</w:t>
      </w:r>
    </w:p>
    <w:p w:rsidR="001A3D39" w:rsidRPr="004245A7" w:rsidRDefault="001A3D39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  <w:r w:rsidRPr="004245A7">
        <w:rPr>
          <w:rFonts w:ascii="Segoe UI" w:hAnsi="Segoe UI" w:cs="Segoe UI"/>
          <w:sz w:val="20"/>
          <w:szCs w:val="20"/>
        </w:rPr>
        <w:t xml:space="preserve">ROSATTI, Horacio: "El Origen del Estado", Ed. </w:t>
      </w:r>
      <w:proofErr w:type="spellStart"/>
      <w:r w:rsidRPr="004245A7">
        <w:rPr>
          <w:rFonts w:ascii="Segoe UI" w:hAnsi="Segoe UI" w:cs="Segoe UI"/>
          <w:sz w:val="20"/>
          <w:szCs w:val="20"/>
        </w:rPr>
        <w:t>Rubinzal</w:t>
      </w:r>
      <w:proofErr w:type="spellEnd"/>
      <w:r w:rsidRPr="004245A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245A7">
        <w:rPr>
          <w:rFonts w:ascii="Segoe UI" w:hAnsi="Segoe UI" w:cs="Segoe UI"/>
          <w:sz w:val="20"/>
          <w:szCs w:val="20"/>
        </w:rPr>
        <w:t>Culzoni</w:t>
      </w:r>
      <w:proofErr w:type="spellEnd"/>
      <w:r w:rsidRPr="004245A7">
        <w:rPr>
          <w:rFonts w:ascii="Segoe UI" w:hAnsi="Segoe UI" w:cs="Segoe UI"/>
          <w:sz w:val="20"/>
          <w:szCs w:val="20"/>
        </w:rPr>
        <w:t>, Buenos Aires (pág. 13/27, 31/36 y 69/82</w:t>
      </w:r>
    </w:p>
    <w:p w:rsidR="001A3D39" w:rsidRPr="004245A7" w:rsidRDefault="001A3D39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  <w:r w:rsidRPr="004245A7">
        <w:rPr>
          <w:rFonts w:ascii="Segoe UI" w:hAnsi="Segoe UI" w:cs="Segoe UI"/>
          <w:sz w:val="20"/>
          <w:szCs w:val="20"/>
        </w:rPr>
        <w:t xml:space="preserve"> DALLA VÍA, Alberto: "Instituciones de Derecho Político y Constitucional, Teoría del Estado y de la Constitución" Tomo I-A, Ed. La Ley (2013) (pág. 17/24)</w:t>
      </w:r>
    </w:p>
    <w:p w:rsidR="00971B89" w:rsidRPr="004245A7" w:rsidRDefault="00971B89" w:rsidP="00971B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AR"/>
        </w:rPr>
      </w:pPr>
    </w:p>
    <w:p w:rsidR="00971B89" w:rsidRPr="004245A7" w:rsidRDefault="005C0B64" w:rsidP="00971B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AR"/>
        </w:rPr>
      </w:pPr>
      <w:r w:rsidRPr="004245A7">
        <w:rPr>
          <w:rFonts w:ascii="Segoe UI" w:eastAsia="Times New Roman" w:hAnsi="Segoe UI" w:cs="Segoe UI"/>
          <w:sz w:val="20"/>
          <w:szCs w:val="20"/>
          <w:lang w:eastAsia="es-AR"/>
        </w:rPr>
        <w:t xml:space="preserve">2- </w:t>
      </w:r>
      <w:r w:rsidR="00971B89" w:rsidRPr="004245A7">
        <w:rPr>
          <w:rFonts w:ascii="Segoe UI" w:eastAsia="Times New Roman" w:hAnsi="Segoe UI" w:cs="Segoe UI"/>
          <w:sz w:val="20"/>
          <w:szCs w:val="20"/>
          <w:lang w:eastAsia="es-AR"/>
        </w:rPr>
        <w:t>Formas de Estado y de gobierno</w:t>
      </w:r>
    </w:p>
    <w:p w:rsidR="001A3D39" w:rsidRPr="004245A7" w:rsidRDefault="001A3D39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  <w:r w:rsidRPr="004245A7">
        <w:rPr>
          <w:rFonts w:ascii="Segoe UI" w:hAnsi="Segoe UI" w:cs="Segoe UI"/>
          <w:sz w:val="20"/>
          <w:szCs w:val="20"/>
        </w:rPr>
        <w:t>CARNOTA, Walter F. y MARANIELLO, Patricio A.: "Derecho Constitucional", Ed. La Ley, pág. 353/363)</w:t>
      </w:r>
    </w:p>
    <w:p w:rsidR="001A3D39" w:rsidRPr="004245A7" w:rsidRDefault="001A3D39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  <w:r w:rsidRPr="004245A7">
        <w:rPr>
          <w:rFonts w:ascii="Segoe UI" w:hAnsi="Segoe UI" w:cs="Segoe UI"/>
          <w:sz w:val="20"/>
          <w:szCs w:val="20"/>
        </w:rPr>
        <w:t>LOEWENSTEIN, Karl: "Teoría de la Constitución", Editorial Ariel S.A. (pág. 41/57)</w:t>
      </w:r>
    </w:p>
    <w:p w:rsidR="001A3D39" w:rsidRPr="004245A7" w:rsidRDefault="001A3D39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  <w:r w:rsidRPr="004245A7">
        <w:rPr>
          <w:rFonts w:ascii="Segoe UI" w:hAnsi="Segoe UI" w:cs="Segoe UI"/>
          <w:sz w:val="20"/>
          <w:szCs w:val="20"/>
        </w:rPr>
        <w:t>BISCARETTI DI RUFFIA, Paolo: "Introducción al Derecho Constitucional Comparado - Las "formas de Estado" y las "formas de Gobierno". Las Constituciones Modernas" Ed. Fondo de Cultura Económica (pág. 153/157)</w:t>
      </w:r>
    </w:p>
    <w:p w:rsidR="00971B89" w:rsidRPr="004245A7" w:rsidRDefault="005C0B64" w:rsidP="00971B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AR"/>
        </w:rPr>
      </w:pPr>
      <w:r w:rsidRPr="004245A7">
        <w:rPr>
          <w:rFonts w:ascii="Segoe UI" w:eastAsia="Times New Roman" w:hAnsi="Segoe UI" w:cs="Segoe UI"/>
          <w:sz w:val="20"/>
          <w:szCs w:val="20"/>
          <w:lang w:eastAsia="es-AR"/>
        </w:rPr>
        <w:t xml:space="preserve">Forma de gobierno </w:t>
      </w:r>
      <w:r w:rsidR="00971B89" w:rsidRPr="004245A7">
        <w:rPr>
          <w:rFonts w:ascii="Segoe UI" w:eastAsia="Times New Roman" w:hAnsi="Segoe UI" w:cs="Segoe UI"/>
          <w:sz w:val="20"/>
          <w:szCs w:val="20"/>
          <w:lang w:eastAsia="es-AR"/>
        </w:rPr>
        <w:t>Republicana</w:t>
      </w:r>
    </w:p>
    <w:p w:rsidR="001A3D39" w:rsidRPr="004245A7" w:rsidRDefault="001A3D39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  <w:r w:rsidRPr="004245A7">
        <w:rPr>
          <w:rFonts w:ascii="Segoe UI" w:hAnsi="Segoe UI" w:cs="Segoe UI"/>
          <w:sz w:val="20"/>
          <w:szCs w:val="20"/>
        </w:rPr>
        <w:t>SARMIENTO, Domingo Faustino: "Comentarios de la Constitución de la Confederación Argentina" Ed. La Ley, Buenos Aires (pág. 64/68)</w:t>
      </w:r>
    </w:p>
    <w:p w:rsidR="001A3D39" w:rsidRPr="004245A7" w:rsidRDefault="001A3D39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  <w:r w:rsidRPr="004245A7">
        <w:rPr>
          <w:rFonts w:ascii="Segoe UI" w:hAnsi="Segoe UI" w:cs="Segoe UI"/>
          <w:sz w:val="20"/>
          <w:szCs w:val="20"/>
        </w:rPr>
        <w:t xml:space="preserve">HAMILTON, A.; MADISON, J. y JAY J.: "El Federalista", Ed. Fondo de Cultura Económica, tercera reimpresión, 2010 (texto El </w:t>
      </w:r>
      <w:proofErr w:type="spellStart"/>
      <w:r w:rsidRPr="004245A7">
        <w:rPr>
          <w:rFonts w:ascii="Segoe UI" w:hAnsi="Segoe UI" w:cs="Segoe UI"/>
          <w:sz w:val="20"/>
          <w:szCs w:val="20"/>
        </w:rPr>
        <w:t>Federlista</w:t>
      </w:r>
      <w:proofErr w:type="spellEnd"/>
      <w:r w:rsidRPr="004245A7">
        <w:rPr>
          <w:rFonts w:ascii="Segoe UI" w:hAnsi="Segoe UI" w:cs="Segoe UI"/>
          <w:sz w:val="20"/>
          <w:szCs w:val="20"/>
        </w:rPr>
        <w:t xml:space="preserve"> XXXIX: Pág. 158/163)</w:t>
      </w:r>
    </w:p>
    <w:p w:rsidR="00971B89" w:rsidRPr="004245A7" w:rsidRDefault="00971B89" w:rsidP="00971B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AR"/>
        </w:rPr>
      </w:pPr>
    </w:p>
    <w:p w:rsidR="00971B89" w:rsidRPr="004245A7" w:rsidRDefault="005C0B64" w:rsidP="00971B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AR"/>
        </w:rPr>
      </w:pPr>
      <w:r w:rsidRPr="004245A7">
        <w:rPr>
          <w:rFonts w:ascii="Segoe UI" w:eastAsia="Times New Roman" w:hAnsi="Segoe UI" w:cs="Segoe UI"/>
          <w:sz w:val="20"/>
          <w:szCs w:val="20"/>
          <w:lang w:eastAsia="es-AR"/>
        </w:rPr>
        <w:t>3-Estado de D</w:t>
      </w:r>
      <w:r w:rsidR="00971B89" w:rsidRPr="004245A7">
        <w:rPr>
          <w:rFonts w:ascii="Segoe UI" w:eastAsia="Times New Roman" w:hAnsi="Segoe UI" w:cs="Segoe UI"/>
          <w:sz w:val="20"/>
          <w:szCs w:val="20"/>
          <w:lang w:eastAsia="es-AR"/>
        </w:rPr>
        <w:t>er</w:t>
      </w:r>
      <w:r w:rsidRPr="004245A7">
        <w:rPr>
          <w:rFonts w:ascii="Segoe UI" w:eastAsia="Times New Roman" w:hAnsi="Segoe UI" w:cs="Segoe UI"/>
          <w:sz w:val="20"/>
          <w:szCs w:val="20"/>
          <w:lang w:eastAsia="es-AR"/>
        </w:rPr>
        <w:t>e</w:t>
      </w:r>
      <w:r w:rsidR="00971B89" w:rsidRPr="004245A7">
        <w:rPr>
          <w:rFonts w:ascii="Segoe UI" w:eastAsia="Times New Roman" w:hAnsi="Segoe UI" w:cs="Segoe UI"/>
          <w:sz w:val="20"/>
          <w:szCs w:val="20"/>
          <w:lang w:eastAsia="es-AR"/>
        </w:rPr>
        <w:t>cho</w:t>
      </w:r>
    </w:p>
    <w:p w:rsidR="001A3D39" w:rsidRPr="004245A7" w:rsidRDefault="001A3D39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  <w:r w:rsidRPr="004245A7">
        <w:rPr>
          <w:rFonts w:ascii="Segoe UI" w:hAnsi="Segoe UI" w:cs="Segoe UI"/>
          <w:sz w:val="20"/>
          <w:szCs w:val="20"/>
        </w:rPr>
        <w:t xml:space="preserve">FERRAJOLI, Luigi: "Democracia y </w:t>
      </w:r>
      <w:proofErr w:type="spellStart"/>
      <w:r w:rsidRPr="004245A7">
        <w:rPr>
          <w:rFonts w:ascii="Segoe UI" w:hAnsi="Segoe UI" w:cs="Segoe UI"/>
          <w:sz w:val="20"/>
          <w:szCs w:val="20"/>
        </w:rPr>
        <w:t>Garantismo</w:t>
      </w:r>
      <w:proofErr w:type="spellEnd"/>
      <w:r w:rsidRPr="004245A7">
        <w:rPr>
          <w:rFonts w:ascii="Segoe UI" w:hAnsi="Segoe UI" w:cs="Segoe UI"/>
          <w:sz w:val="20"/>
          <w:szCs w:val="20"/>
        </w:rPr>
        <w:t xml:space="preserve">", Editorial </w:t>
      </w:r>
      <w:proofErr w:type="spellStart"/>
      <w:r w:rsidRPr="004245A7">
        <w:rPr>
          <w:rFonts w:ascii="Segoe UI" w:hAnsi="Segoe UI" w:cs="Segoe UI"/>
          <w:sz w:val="20"/>
          <w:szCs w:val="20"/>
        </w:rPr>
        <w:t>Trotta</w:t>
      </w:r>
      <w:proofErr w:type="spellEnd"/>
      <w:r w:rsidRPr="004245A7">
        <w:rPr>
          <w:rFonts w:ascii="Segoe UI" w:hAnsi="Segoe UI" w:cs="Segoe UI"/>
          <w:sz w:val="20"/>
          <w:szCs w:val="20"/>
        </w:rPr>
        <w:t xml:space="preserve"> (pág. 25/41)</w:t>
      </w:r>
    </w:p>
    <w:p w:rsidR="001A3D39" w:rsidRPr="004245A7" w:rsidRDefault="001A3D39" w:rsidP="00971B8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AR"/>
        </w:rPr>
      </w:pPr>
    </w:p>
    <w:p w:rsidR="001A3D39" w:rsidRPr="004245A7" w:rsidRDefault="005C0B64" w:rsidP="001A3D3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AR"/>
        </w:rPr>
      </w:pPr>
      <w:r w:rsidRPr="004245A7">
        <w:rPr>
          <w:rFonts w:ascii="Segoe UI" w:eastAsia="Times New Roman" w:hAnsi="Segoe UI" w:cs="Segoe UI"/>
          <w:sz w:val="20"/>
          <w:szCs w:val="20"/>
          <w:lang w:eastAsia="es-AR"/>
        </w:rPr>
        <w:t xml:space="preserve">4- </w:t>
      </w:r>
      <w:r w:rsidR="00971B89" w:rsidRPr="004245A7">
        <w:rPr>
          <w:rFonts w:ascii="Segoe UI" w:eastAsia="Times New Roman" w:hAnsi="Segoe UI" w:cs="Segoe UI"/>
          <w:sz w:val="20"/>
          <w:szCs w:val="20"/>
          <w:lang w:eastAsia="es-AR"/>
        </w:rPr>
        <w:t>Soberanía</w:t>
      </w:r>
    </w:p>
    <w:p w:rsidR="001A3D39" w:rsidRPr="004245A7" w:rsidRDefault="001A3D39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  <w:r w:rsidRPr="004245A7">
        <w:rPr>
          <w:rFonts w:ascii="Segoe UI" w:hAnsi="Segoe UI" w:cs="Segoe UI"/>
          <w:sz w:val="20"/>
          <w:szCs w:val="20"/>
        </w:rPr>
        <w:t>PIZZOLO CALOGERO: "Pensar el Mercosur" (para soberanía, pág. 33/45 y 48/57)</w:t>
      </w:r>
    </w:p>
    <w:p w:rsidR="004245A7" w:rsidRPr="004245A7" w:rsidRDefault="004245A7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</w:rPr>
      </w:pPr>
    </w:p>
    <w:p w:rsidR="004245A7" w:rsidRPr="004245A7" w:rsidRDefault="004245A7" w:rsidP="004245A7">
      <w:pPr>
        <w:spacing w:line="360" w:lineRule="auto"/>
        <w:jc w:val="both"/>
        <w:rPr>
          <w:rFonts w:ascii="Segoe UI" w:hAnsi="Segoe UI" w:cs="Segoe UI"/>
          <w:sz w:val="20"/>
          <w:szCs w:val="20"/>
          <w:lang w:val="es-ES"/>
        </w:rPr>
      </w:pPr>
      <w:r w:rsidRPr="004245A7">
        <w:rPr>
          <w:rFonts w:ascii="Segoe UI" w:hAnsi="Segoe UI" w:cs="Segoe UI"/>
          <w:sz w:val="20"/>
          <w:szCs w:val="20"/>
        </w:rPr>
        <w:t xml:space="preserve">5- </w:t>
      </w:r>
      <w:r w:rsidRPr="004245A7">
        <w:rPr>
          <w:rFonts w:ascii="Segoe UI" w:hAnsi="Segoe UI" w:cs="Segoe UI"/>
          <w:sz w:val="20"/>
          <w:szCs w:val="20"/>
          <w:lang w:val="es-ES"/>
        </w:rPr>
        <w:t>La soberanía del Estado frente a los organismos supranacionales. La globalización. Los tratados internacionales. Las organizaciones internacionales y regionales en el derecho de integración.</w:t>
      </w:r>
    </w:p>
    <w:p w:rsidR="004245A7" w:rsidRPr="004245A7" w:rsidRDefault="004245A7" w:rsidP="004245A7">
      <w:pPr>
        <w:spacing w:line="360" w:lineRule="auto"/>
        <w:jc w:val="both"/>
        <w:rPr>
          <w:rFonts w:ascii="Segoe UI" w:hAnsi="Segoe UI" w:cs="Segoe UI"/>
          <w:sz w:val="20"/>
          <w:szCs w:val="20"/>
          <w:lang w:val="es-ES"/>
        </w:rPr>
      </w:pPr>
      <w:r w:rsidRPr="004245A7">
        <w:rPr>
          <w:rFonts w:ascii="Segoe UI" w:hAnsi="Segoe UI" w:cs="Segoe UI"/>
          <w:sz w:val="20"/>
          <w:szCs w:val="20"/>
          <w:lang w:val="es-ES"/>
        </w:rPr>
        <w:t xml:space="preserve">HARO, Ricardo: “Relaciones entre el derecho internacional y el derecho interno: nuevas perspectivas doctrinales y </w:t>
      </w:r>
      <w:proofErr w:type="spellStart"/>
      <w:r w:rsidRPr="004245A7">
        <w:rPr>
          <w:rFonts w:ascii="Segoe UI" w:hAnsi="Segoe UI" w:cs="Segoe UI"/>
          <w:sz w:val="20"/>
          <w:szCs w:val="20"/>
          <w:lang w:val="es-ES"/>
        </w:rPr>
        <w:t>jurisprudenciales”.</w:t>
      </w:r>
      <w:proofErr w:type="spellEnd"/>
    </w:p>
    <w:p w:rsidR="004245A7" w:rsidRPr="004245A7" w:rsidRDefault="004245A7" w:rsidP="004245A7">
      <w:pPr>
        <w:spacing w:line="360" w:lineRule="auto"/>
        <w:jc w:val="both"/>
        <w:rPr>
          <w:rFonts w:ascii="Segoe UI" w:hAnsi="Segoe UI" w:cs="Segoe UI"/>
          <w:sz w:val="20"/>
          <w:szCs w:val="20"/>
          <w:lang w:val="es-ES"/>
        </w:rPr>
      </w:pPr>
      <w:r w:rsidRPr="004245A7">
        <w:rPr>
          <w:rFonts w:ascii="Segoe UI" w:hAnsi="Segoe UI" w:cs="Segoe UI"/>
          <w:sz w:val="20"/>
          <w:szCs w:val="20"/>
          <w:lang w:val="es-ES"/>
        </w:rPr>
        <w:t xml:space="preserve">BIDART CAMPOS, Germán J.: “Manual de la Constitución Reformada, Tomo II”- </w:t>
      </w:r>
      <w:proofErr w:type="spellStart"/>
      <w:r w:rsidRPr="004245A7">
        <w:rPr>
          <w:rFonts w:ascii="Segoe UI" w:hAnsi="Segoe UI" w:cs="Segoe UI"/>
          <w:sz w:val="20"/>
          <w:szCs w:val="20"/>
          <w:lang w:val="es-ES"/>
        </w:rPr>
        <w:t>Pag</w:t>
      </w:r>
      <w:proofErr w:type="spellEnd"/>
      <w:r w:rsidRPr="004245A7">
        <w:rPr>
          <w:rFonts w:ascii="Segoe UI" w:hAnsi="Segoe UI" w:cs="Segoe UI"/>
          <w:sz w:val="20"/>
          <w:szCs w:val="20"/>
          <w:lang w:val="es-ES"/>
        </w:rPr>
        <w:t xml:space="preserve"> 405 a 429</w:t>
      </w:r>
    </w:p>
    <w:p w:rsidR="004245A7" w:rsidRPr="004245A7" w:rsidRDefault="004245A7" w:rsidP="001A3D39">
      <w:pPr>
        <w:pStyle w:val="NormalWeb"/>
        <w:spacing w:before="120" w:beforeAutospacing="0" w:after="120" w:afterAutospacing="0"/>
        <w:rPr>
          <w:rFonts w:ascii="Segoe UI" w:hAnsi="Segoe UI" w:cs="Segoe UI"/>
          <w:sz w:val="20"/>
          <w:szCs w:val="20"/>
          <w:lang w:val="es-ES"/>
        </w:rPr>
      </w:pPr>
    </w:p>
    <w:p w:rsidR="001A3D39" w:rsidRPr="004245A7" w:rsidRDefault="001A3D39">
      <w:pPr>
        <w:rPr>
          <w:rFonts w:ascii="Segoe UI" w:hAnsi="Segoe UI" w:cs="Segoe UI"/>
          <w:sz w:val="20"/>
          <w:szCs w:val="20"/>
        </w:rPr>
      </w:pPr>
    </w:p>
    <w:sectPr w:rsidR="001A3D39" w:rsidRPr="004245A7" w:rsidSect="00657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71B89"/>
    <w:rsid w:val="001A3D39"/>
    <w:rsid w:val="00405E81"/>
    <w:rsid w:val="00407A5C"/>
    <w:rsid w:val="004245A7"/>
    <w:rsid w:val="004877C6"/>
    <w:rsid w:val="005C0B64"/>
    <w:rsid w:val="00657781"/>
    <w:rsid w:val="0097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2</cp:revision>
  <dcterms:created xsi:type="dcterms:W3CDTF">2019-05-31T21:13:00Z</dcterms:created>
  <dcterms:modified xsi:type="dcterms:W3CDTF">2019-06-06T13:26:00Z</dcterms:modified>
</cp:coreProperties>
</file>