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AB" w:rsidRDefault="00B00087" w:rsidP="00B00087">
      <w:pPr>
        <w:jc w:val="center"/>
        <w:rPr>
          <w:rFonts w:ascii="Bell MT" w:hAnsi="Bell MT"/>
          <w:b/>
          <w:sz w:val="28"/>
          <w:szCs w:val="28"/>
          <w:u w:val="single"/>
        </w:rPr>
      </w:pPr>
      <w:r w:rsidRPr="00B00087">
        <w:rPr>
          <w:rFonts w:ascii="Bell MT" w:hAnsi="Bell MT"/>
          <w:b/>
          <w:sz w:val="28"/>
          <w:szCs w:val="28"/>
          <w:u w:val="single"/>
        </w:rPr>
        <w:t xml:space="preserve">Guía para </w:t>
      </w:r>
      <w:r>
        <w:rPr>
          <w:rFonts w:ascii="Bell MT" w:hAnsi="Bell MT"/>
          <w:b/>
          <w:sz w:val="28"/>
          <w:szCs w:val="28"/>
          <w:u w:val="single"/>
        </w:rPr>
        <w:t>el estudio de F</w:t>
      </w:r>
      <w:r w:rsidRPr="00B00087">
        <w:rPr>
          <w:rFonts w:ascii="Bell MT" w:hAnsi="Bell MT"/>
          <w:b/>
          <w:sz w:val="28"/>
          <w:szCs w:val="28"/>
          <w:u w:val="single"/>
        </w:rPr>
        <w:t>allos</w:t>
      </w:r>
      <w:r>
        <w:rPr>
          <w:rFonts w:ascii="Bell MT" w:hAnsi="Bell MT"/>
          <w:b/>
          <w:sz w:val="28"/>
          <w:szCs w:val="28"/>
          <w:u w:val="single"/>
        </w:rPr>
        <w:t>:</w:t>
      </w:r>
    </w:p>
    <w:p w:rsidR="00B00087" w:rsidRPr="00B00087" w:rsidRDefault="00B00087" w:rsidP="00B00087">
      <w:pPr>
        <w:jc w:val="center"/>
        <w:rPr>
          <w:rFonts w:ascii="Bookman Old Style" w:hAnsi="Bookman Old Style"/>
          <w:b/>
          <w:sz w:val="24"/>
          <w:szCs w:val="24"/>
          <w:u w:val="single"/>
        </w:rPr>
      </w:pPr>
      <w:r w:rsidRPr="00B00087">
        <w:rPr>
          <w:rFonts w:ascii="Bookman Old Style" w:hAnsi="Bookman Old Style"/>
          <w:b/>
          <w:sz w:val="24"/>
          <w:szCs w:val="24"/>
          <w:u w:val="single"/>
        </w:rPr>
        <w:t>I.- DDHH</w:t>
      </w:r>
    </w:p>
    <w:p w:rsidR="00B00087" w:rsidRPr="00B00087" w:rsidRDefault="00B00087" w:rsidP="00B00087">
      <w:pPr>
        <w:jc w:val="both"/>
        <w:rPr>
          <w:rFonts w:ascii="Bookman Old Style" w:hAnsi="Bookman Old Style"/>
          <w:sz w:val="24"/>
          <w:szCs w:val="24"/>
          <w:u w:val="single"/>
        </w:rPr>
      </w:pPr>
      <w:r w:rsidRPr="00B00087">
        <w:rPr>
          <w:rFonts w:ascii="Bookman Old Style" w:hAnsi="Bookman Old Style"/>
          <w:sz w:val="24"/>
          <w:szCs w:val="24"/>
          <w:u w:val="single"/>
        </w:rPr>
        <w:t>1.- Antecedentes:</w:t>
      </w:r>
    </w:p>
    <w:p w:rsidR="00B00087" w:rsidRPr="00B00087" w:rsidRDefault="00B00087" w:rsidP="00D87009">
      <w:pPr>
        <w:jc w:val="both"/>
        <w:rPr>
          <w:rFonts w:ascii="Bookman Old Style" w:hAnsi="Bookman Old Style"/>
          <w:sz w:val="24"/>
          <w:szCs w:val="24"/>
        </w:rPr>
      </w:pPr>
      <w:r w:rsidRPr="00B00087">
        <w:rPr>
          <w:rFonts w:ascii="Bookman Old Style" w:hAnsi="Bookman Old Style"/>
          <w:sz w:val="24"/>
          <w:szCs w:val="24"/>
        </w:rPr>
        <w:t xml:space="preserve">El 22/9/83, el PE de facto dictó la </w:t>
      </w:r>
      <w:r w:rsidRPr="00D87009">
        <w:rPr>
          <w:rFonts w:ascii="Bookman Old Style" w:hAnsi="Bookman Old Style"/>
          <w:i/>
          <w:sz w:val="24"/>
          <w:szCs w:val="24"/>
        </w:rPr>
        <w:t>ley 22.924 “Ley de pacificación nacional”</w:t>
      </w:r>
      <w:r w:rsidRPr="00B00087">
        <w:rPr>
          <w:rFonts w:ascii="Bookman Old Style" w:hAnsi="Bookman Old Style"/>
          <w:sz w:val="24"/>
          <w:szCs w:val="24"/>
        </w:rPr>
        <w:t xml:space="preserve"> que declaró extinguidas las acciones penales emergentes de los delitos cometidos con motivación o finalidad terrorista o subversiva desde el 25/3/76 hasta el 17/6/82, así como aquellos hechos de naturaleza penal realizados en ocasión o con motivo del desarrollo de acciones dirigidas a prevenir, conjurar o poner fin a las referidas actividades terroristas o subversivas, cualquiera fuere su naturaleza o el bien jurídico lesionado.</w:t>
      </w:r>
    </w:p>
    <w:p w:rsidR="00B00087" w:rsidRDefault="00B00087" w:rsidP="00D87009">
      <w:pPr>
        <w:jc w:val="both"/>
        <w:rPr>
          <w:rFonts w:ascii="Bookman Old Style" w:hAnsi="Bookman Old Style"/>
          <w:sz w:val="24"/>
          <w:szCs w:val="24"/>
        </w:rPr>
      </w:pPr>
      <w:r w:rsidRPr="00B00087">
        <w:rPr>
          <w:rFonts w:ascii="Bookman Old Style" w:hAnsi="Bookman Old Style"/>
          <w:sz w:val="24"/>
          <w:szCs w:val="24"/>
        </w:rPr>
        <w:t>Comprendía a autores, partícipes, instigadores, cómplices o encubridores y delitos comunes cone</w:t>
      </w:r>
      <w:r>
        <w:rPr>
          <w:rFonts w:ascii="Bookman Old Style" w:hAnsi="Bookman Old Style"/>
          <w:sz w:val="24"/>
          <w:szCs w:val="24"/>
        </w:rPr>
        <w:t>xos y delitos militares conexos, excluía a quienes no residieran en el territorio argentino o en lugares sometidos a su jurisdicción.</w:t>
      </w:r>
    </w:p>
    <w:p w:rsidR="00B00087" w:rsidRDefault="00B00087" w:rsidP="00D87009">
      <w:pPr>
        <w:jc w:val="both"/>
        <w:rPr>
          <w:rFonts w:ascii="Bookman Old Style" w:hAnsi="Bookman Old Style"/>
          <w:sz w:val="24"/>
          <w:szCs w:val="24"/>
        </w:rPr>
      </w:pPr>
      <w:r>
        <w:rPr>
          <w:rFonts w:ascii="Bookman Old Style" w:hAnsi="Bookman Old Style"/>
          <w:sz w:val="24"/>
          <w:szCs w:val="24"/>
        </w:rPr>
        <w:t>El 13/12/83 el Preside</w:t>
      </w:r>
      <w:r w:rsidR="00D87009">
        <w:rPr>
          <w:rFonts w:ascii="Bookman Old Style" w:hAnsi="Bookman Old Style"/>
          <w:sz w:val="24"/>
          <w:szCs w:val="24"/>
        </w:rPr>
        <w:t>n</w:t>
      </w:r>
      <w:r>
        <w:rPr>
          <w:rFonts w:ascii="Bookman Old Style" w:hAnsi="Bookman Old Style"/>
          <w:sz w:val="24"/>
          <w:szCs w:val="24"/>
        </w:rPr>
        <w:t>te de la Nación, como comandante en jefe de las fuerzas armadas dispuso procesar a las juntas militares media</w:t>
      </w:r>
      <w:r w:rsidR="00D87009">
        <w:rPr>
          <w:rFonts w:ascii="Bookman Old Style" w:hAnsi="Bookman Old Style"/>
          <w:sz w:val="24"/>
          <w:szCs w:val="24"/>
        </w:rPr>
        <w:t>n</w:t>
      </w:r>
      <w:r>
        <w:rPr>
          <w:rFonts w:ascii="Bookman Old Style" w:hAnsi="Bookman Old Style"/>
          <w:sz w:val="24"/>
          <w:szCs w:val="24"/>
        </w:rPr>
        <w:t xml:space="preserve">te el </w:t>
      </w:r>
      <w:r w:rsidRPr="00D87009">
        <w:rPr>
          <w:rFonts w:ascii="Bookman Old Style" w:hAnsi="Bookman Old Style"/>
          <w:i/>
          <w:sz w:val="24"/>
          <w:szCs w:val="24"/>
        </w:rPr>
        <w:t>decreto 158</w:t>
      </w:r>
      <w:r w:rsidR="00D87009" w:rsidRPr="00D87009">
        <w:rPr>
          <w:rFonts w:ascii="Bookman Old Style" w:hAnsi="Bookman Old Style"/>
          <w:i/>
          <w:sz w:val="24"/>
          <w:szCs w:val="24"/>
        </w:rPr>
        <w:t>.</w:t>
      </w:r>
    </w:p>
    <w:p w:rsidR="00D87009" w:rsidRDefault="00D87009" w:rsidP="00D87009">
      <w:pPr>
        <w:jc w:val="both"/>
        <w:rPr>
          <w:rFonts w:ascii="Bookman Old Style" w:hAnsi="Bookman Old Style"/>
          <w:sz w:val="24"/>
          <w:szCs w:val="24"/>
        </w:rPr>
      </w:pPr>
      <w:r>
        <w:rPr>
          <w:rFonts w:ascii="Bookman Old Style" w:hAnsi="Bookman Old Style"/>
          <w:sz w:val="24"/>
          <w:szCs w:val="24"/>
        </w:rPr>
        <w:t xml:space="preserve">La ley 22.924 fue derogada el 22/12/83 por la </w:t>
      </w:r>
      <w:r w:rsidRPr="00D87009">
        <w:rPr>
          <w:rFonts w:ascii="Bookman Old Style" w:hAnsi="Bookman Old Style"/>
          <w:i/>
          <w:sz w:val="24"/>
          <w:szCs w:val="24"/>
        </w:rPr>
        <w:t>ley 23.040</w:t>
      </w:r>
      <w:r>
        <w:rPr>
          <w:rFonts w:ascii="Bookman Old Style" w:hAnsi="Bookman Old Style"/>
          <w:sz w:val="24"/>
          <w:szCs w:val="24"/>
        </w:rPr>
        <w:t xml:space="preserve"> y declarada insanablemente nula.</w:t>
      </w:r>
    </w:p>
    <w:p w:rsidR="00D87009" w:rsidRDefault="00D87009" w:rsidP="00D87009">
      <w:pPr>
        <w:jc w:val="both"/>
        <w:rPr>
          <w:rFonts w:ascii="Bookman Old Style" w:hAnsi="Bookman Old Style"/>
          <w:sz w:val="24"/>
          <w:szCs w:val="24"/>
        </w:rPr>
      </w:pPr>
      <w:r>
        <w:rPr>
          <w:rFonts w:ascii="Bookman Old Style" w:hAnsi="Bookman Old Style"/>
          <w:sz w:val="24"/>
          <w:szCs w:val="24"/>
        </w:rPr>
        <w:t xml:space="preserve">La </w:t>
      </w:r>
      <w:r w:rsidRPr="00D87009">
        <w:rPr>
          <w:rFonts w:ascii="Bookman Old Style" w:hAnsi="Bookman Old Style"/>
          <w:i/>
          <w:sz w:val="24"/>
          <w:szCs w:val="24"/>
        </w:rPr>
        <w:t>ley 23.049</w:t>
      </w:r>
      <w:r>
        <w:rPr>
          <w:rFonts w:ascii="Bookman Old Style" w:hAnsi="Bookman Old Style"/>
          <w:sz w:val="24"/>
          <w:szCs w:val="24"/>
        </w:rPr>
        <w:t xml:space="preserve"> (9/2/84 promulgada el 13/2/84) modificó el Código de Justicia Militar, en especial la revisión de las decisiones de los Tribunales Militares, arbitrando una instancia ante la Justicia Federal. En el art. 10 se formularon modificaciones al procedimiento en el tratamiento de causas relativas a los juicios sumarios en tiempos de paz (regulados por los arts. 502 a 504 del CJM)</w:t>
      </w:r>
    </w:p>
    <w:p w:rsidR="00D87009" w:rsidRDefault="00D87009" w:rsidP="00D87009">
      <w:pPr>
        <w:jc w:val="both"/>
        <w:rPr>
          <w:rFonts w:ascii="Bookman Old Style" w:hAnsi="Bookman Old Style"/>
          <w:sz w:val="24"/>
          <w:szCs w:val="24"/>
        </w:rPr>
      </w:pPr>
      <w:r>
        <w:rPr>
          <w:rFonts w:ascii="Bookman Old Style" w:hAnsi="Bookman Old Style"/>
          <w:sz w:val="24"/>
          <w:szCs w:val="24"/>
        </w:rPr>
        <w:t xml:space="preserve">El 23/12/86 se sancionó la </w:t>
      </w:r>
      <w:r w:rsidRPr="00D87009">
        <w:rPr>
          <w:rFonts w:ascii="Bookman Old Style" w:hAnsi="Bookman Old Style"/>
          <w:i/>
          <w:sz w:val="24"/>
          <w:szCs w:val="24"/>
        </w:rPr>
        <w:t>ley 23.492 “Ley de punto final”</w:t>
      </w:r>
      <w:r>
        <w:rPr>
          <w:rFonts w:ascii="Bookman Old Style" w:hAnsi="Bookman Old Style"/>
          <w:sz w:val="24"/>
          <w:szCs w:val="24"/>
        </w:rPr>
        <w:t xml:space="preserve"> que dispuso la extinción de la acción penal respecto de toda persona por su presunta participación en cualquier grado, en los delitos del art. 10 de la ley 23.049, como las acciones contra toda persona que hubiere cometido delito vinculado a la instauración de formas violentas de acción política hasta el 10/12/83.</w:t>
      </w:r>
    </w:p>
    <w:p w:rsidR="00D447FA" w:rsidRDefault="00D447FA" w:rsidP="00D87009">
      <w:pPr>
        <w:jc w:val="both"/>
        <w:rPr>
          <w:rFonts w:ascii="Bookman Old Style" w:hAnsi="Bookman Old Style"/>
          <w:sz w:val="24"/>
          <w:szCs w:val="24"/>
        </w:rPr>
      </w:pPr>
      <w:r>
        <w:rPr>
          <w:rFonts w:ascii="Bookman Old Style" w:hAnsi="Bookman Old Style"/>
          <w:sz w:val="24"/>
          <w:szCs w:val="24"/>
        </w:rPr>
        <w:t xml:space="preserve">El 4/7/87 se sancionó la </w:t>
      </w:r>
      <w:r>
        <w:rPr>
          <w:rFonts w:ascii="Bookman Old Style" w:hAnsi="Bookman Old Style"/>
          <w:i/>
          <w:sz w:val="24"/>
          <w:szCs w:val="24"/>
        </w:rPr>
        <w:t xml:space="preserve">ley 23.521 “de Obediencia Debida” </w:t>
      </w:r>
      <w:r>
        <w:rPr>
          <w:rFonts w:ascii="Bookman Old Style" w:hAnsi="Bookman Old Style"/>
          <w:sz w:val="24"/>
          <w:szCs w:val="24"/>
        </w:rPr>
        <w:t xml:space="preserve">de presunción, sin prueba en contrario, que quienes a la fecha de comisión </w:t>
      </w:r>
      <w:r>
        <w:rPr>
          <w:rFonts w:ascii="Bookman Old Style" w:hAnsi="Bookman Old Style"/>
          <w:sz w:val="24"/>
          <w:szCs w:val="24"/>
        </w:rPr>
        <w:lastRenderedPageBreak/>
        <w:t xml:space="preserve">del  hecho revistaban como oficiales jefes, oficiales subalternos, suboficiales y personal de tropa de las FFAA, de seguridad, policiales y penitenciarios, no eran punibles por los delitos del art. 10 punto 1 de la ley  23.049 por haber obrado con obediencia debida, excepto para los delitos de violación, sustracción y ocultación de menores o sustitución </w:t>
      </w:r>
      <w:proofErr w:type="spellStart"/>
      <w:r>
        <w:rPr>
          <w:rFonts w:ascii="Bookman Old Style" w:hAnsi="Bookman Old Style"/>
          <w:sz w:val="24"/>
          <w:szCs w:val="24"/>
        </w:rPr>
        <w:t>e</w:t>
      </w:r>
      <w:proofErr w:type="spellEnd"/>
      <w:r>
        <w:rPr>
          <w:rFonts w:ascii="Bookman Old Style" w:hAnsi="Bookman Old Style"/>
          <w:sz w:val="24"/>
          <w:szCs w:val="24"/>
        </w:rPr>
        <w:t xml:space="preserve"> su estado civil y apropiación extensiva de inmuebles. </w:t>
      </w:r>
    </w:p>
    <w:p w:rsidR="00D447FA" w:rsidRDefault="00D447FA" w:rsidP="00D87009">
      <w:pPr>
        <w:jc w:val="both"/>
        <w:rPr>
          <w:rFonts w:ascii="Bookman Old Style" w:hAnsi="Bookman Old Style"/>
          <w:sz w:val="24"/>
          <w:szCs w:val="24"/>
        </w:rPr>
      </w:pPr>
      <w:r>
        <w:rPr>
          <w:rFonts w:ascii="Bookman Old Style" w:hAnsi="Bookman Old Style"/>
          <w:sz w:val="24"/>
          <w:szCs w:val="24"/>
        </w:rPr>
        <w:t>La inteligencia de algunas de estas normas y sus constitucionalidad fueron analizadas en las causas “</w:t>
      </w:r>
      <w:proofErr w:type="spellStart"/>
      <w:r>
        <w:rPr>
          <w:rFonts w:ascii="Bookman Old Style" w:hAnsi="Bookman Old Style"/>
          <w:sz w:val="24"/>
          <w:szCs w:val="24"/>
        </w:rPr>
        <w:t>Lami</w:t>
      </w:r>
      <w:proofErr w:type="spellEnd"/>
      <w:r>
        <w:rPr>
          <w:rFonts w:ascii="Bookman Old Style" w:hAnsi="Bookman Old Style"/>
          <w:sz w:val="24"/>
          <w:szCs w:val="24"/>
        </w:rPr>
        <w:t xml:space="preserve"> </w:t>
      </w:r>
      <w:proofErr w:type="spellStart"/>
      <w:r>
        <w:rPr>
          <w:rFonts w:ascii="Bookman Old Style" w:hAnsi="Bookman Old Style"/>
          <w:sz w:val="24"/>
          <w:szCs w:val="24"/>
        </w:rPr>
        <w:t>Dozo</w:t>
      </w:r>
      <w:proofErr w:type="spellEnd"/>
      <w:r>
        <w:rPr>
          <w:rFonts w:ascii="Bookman Old Style" w:hAnsi="Bookman Old Style"/>
          <w:sz w:val="24"/>
          <w:szCs w:val="24"/>
        </w:rPr>
        <w:t>, Basilio Arturo” (31/7/84), “</w:t>
      </w:r>
      <w:proofErr w:type="spellStart"/>
      <w:r>
        <w:rPr>
          <w:rFonts w:ascii="Bookman Old Style" w:hAnsi="Bookman Old Style"/>
          <w:sz w:val="24"/>
          <w:szCs w:val="24"/>
        </w:rPr>
        <w:t>Bignone</w:t>
      </w:r>
      <w:proofErr w:type="spellEnd"/>
      <w:r>
        <w:rPr>
          <w:rFonts w:ascii="Bookman Old Style" w:hAnsi="Bookman Old Style"/>
          <w:sz w:val="24"/>
          <w:szCs w:val="24"/>
        </w:rPr>
        <w:t>, Reynaldo Benito” (21/6/84), “Causa originariamente instruida con el Concejo Suprema de las FFAA en cumplimiento del decreto del PEN” (30/12/86).</w:t>
      </w:r>
    </w:p>
    <w:p w:rsidR="00FC0109" w:rsidRDefault="00FC0109" w:rsidP="00D87009">
      <w:pPr>
        <w:jc w:val="both"/>
        <w:rPr>
          <w:rFonts w:ascii="Bookman Old Style" w:hAnsi="Bookman Old Style"/>
          <w:sz w:val="24"/>
          <w:szCs w:val="24"/>
        </w:rPr>
      </w:pPr>
      <w:r>
        <w:rPr>
          <w:rFonts w:ascii="Bookman Old Style" w:hAnsi="Bookman Old Style"/>
          <w:sz w:val="24"/>
          <w:szCs w:val="24"/>
        </w:rPr>
        <w:t>El Congreso dicta la ley 25.779 por medio de la cual declara insanablemente nulas las leyes de obediencia debida y punto final.</w:t>
      </w:r>
    </w:p>
    <w:p w:rsidR="00FC0109" w:rsidRDefault="00FC0109" w:rsidP="00D87009">
      <w:pPr>
        <w:jc w:val="both"/>
        <w:rPr>
          <w:rFonts w:ascii="Bookman Old Style" w:hAnsi="Bookman Old Style"/>
          <w:sz w:val="24"/>
          <w:szCs w:val="24"/>
        </w:rPr>
      </w:pPr>
    </w:p>
    <w:p w:rsidR="00D447FA" w:rsidRDefault="002F14A7" w:rsidP="00D87009">
      <w:pPr>
        <w:jc w:val="both"/>
        <w:rPr>
          <w:rFonts w:ascii="Bookman Old Style" w:hAnsi="Bookman Old Style"/>
          <w:sz w:val="24"/>
          <w:szCs w:val="24"/>
        </w:rPr>
      </w:pPr>
      <w:r>
        <w:rPr>
          <w:rFonts w:ascii="Bookman Old Style" w:hAnsi="Bookman Old Style"/>
          <w:sz w:val="24"/>
          <w:szCs w:val="24"/>
        </w:rPr>
        <w:t>2.- “GUARINO”</w:t>
      </w:r>
    </w:p>
    <w:p w:rsidR="003D72BB" w:rsidRDefault="003D72BB" w:rsidP="00D87009">
      <w:pPr>
        <w:jc w:val="both"/>
        <w:rPr>
          <w:rFonts w:ascii="Bookman Old Style" w:hAnsi="Bookman Old Style"/>
          <w:sz w:val="24"/>
          <w:szCs w:val="24"/>
        </w:rPr>
      </w:pPr>
      <w:r>
        <w:rPr>
          <w:rFonts w:ascii="Bookman Old Style" w:hAnsi="Bookman Old Style"/>
          <w:sz w:val="24"/>
          <w:szCs w:val="24"/>
        </w:rPr>
        <w:t xml:space="preserve">2.1. </w:t>
      </w:r>
      <w:proofErr w:type="gramStart"/>
      <w:r>
        <w:rPr>
          <w:rFonts w:ascii="Bookman Old Style" w:hAnsi="Bookman Old Style"/>
          <w:sz w:val="24"/>
          <w:szCs w:val="24"/>
        </w:rPr>
        <w:t>qué</w:t>
      </w:r>
      <w:proofErr w:type="gramEnd"/>
      <w:r>
        <w:rPr>
          <w:rFonts w:ascii="Bookman Old Style" w:hAnsi="Bookman Old Style"/>
          <w:sz w:val="24"/>
          <w:szCs w:val="24"/>
        </w:rPr>
        <w:t xml:space="preserve"> valor se otorga al examen hematológico de histocompatibilidad genética?</w:t>
      </w:r>
    </w:p>
    <w:p w:rsidR="003D72BB" w:rsidRDefault="003D72BB" w:rsidP="00D87009">
      <w:pPr>
        <w:jc w:val="both"/>
        <w:rPr>
          <w:rFonts w:ascii="Bookman Old Style" w:hAnsi="Bookman Old Style"/>
          <w:sz w:val="24"/>
          <w:szCs w:val="24"/>
        </w:rPr>
      </w:pPr>
      <w:r>
        <w:rPr>
          <w:rFonts w:ascii="Bookman Old Style" w:hAnsi="Bookman Old Style"/>
          <w:sz w:val="24"/>
          <w:szCs w:val="24"/>
        </w:rPr>
        <w:t>2.2. cuáles son los derechos fundamentales en juego</w:t>
      </w:r>
      <w:proofErr w:type="gramStart"/>
      <w:r>
        <w:rPr>
          <w:rFonts w:ascii="Bookman Old Style" w:hAnsi="Bookman Old Style"/>
          <w:sz w:val="24"/>
          <w:szCs w:val="24"/>
        </w:rPr>
        <w:t>?</w:t>
      </w:r>
      <w:proofErr w:type="gramEnd"/>
    </w:p>
    <w:p w:rsidR="003D72BB" w:rsidRDefault="003D72BB" w:rsidP="00D87009">
      <w:pPr>
        <w:jc w:val="both"/>
        <w:rPr>
          <w:rFonts w:ascii="Bookman Old Style" w:hAnsi="Bookman Old Style"/>
          <w:sz w:val="24"/>
          <w:szCs w:val="24"/>
        </w:rPr>
      </w:pPr>
      <w:r>
        <w:rPr>
          <w:rFonts w:ascii="Bookman Old Style" w:hAnsi="Bookman Old Style"/>
          <w:sz w:val="24"/>
          <w:szCs w:val="24"/>
        </w:rPr>
        <w:t>2.3. Qué incidencia tiene la Convención sobre los Derechos del Niño</w:t>
      </w:r>
      <w:proofErr w:type="gramStart"/>
      <w:r>
        <w:rPr>
          <w:rFonts w:ascii="Bookman Old Style" w:hAnsi="Bookman Old Style"/>
          <w:sz w:val="24"/>
          <w:szCs w:val="24"/>
        </w:rPr>
        <w:t>?</w:t>
      </w:r>
      <w:proofErr w:type="gramEnd"/>
    </w:p>
    <w:p w:rsidR="003D72BB" w:rsidRDefault="003D72BB" w:rsidP="00D87009">
      <w:pPr>
        <w:jc w:val="both"/>
        <w:rPr>
          <w:rFonts w:ascii="Bookman Old Style" w:hAnsi="Bookman Old Style"/>
          <w:sz w:val="24"/>
          <w:szCs w:val="24"/>
        </w:rPr>
      </w:pPr>
      <w:r>
        <w:rPr>
          <w:rFonts w:ascii="Bookman Old Style" w:hAnsi="Bookman Old Style"/>
          <w:sz w:val="24"/>
          <w:szCs w:val="24"/>
        </w:rPr>
        <w:t>3.- “VAZQUEZ FERRÁ”</w:t>
      </w:r>
    </w:p>
    <w:p w:rsidR="003D72BB" w:rsidRDefault="003D72BB" w:rsidP="00D87009">
      <w:pPr>
        <w:jc w:val="both"/>
        <w:rPr>
          <w:rFonts w:ascii="Bookman Old Style" w:hAnsi="Bookman Old Style"/>
          <w:sz w:val="24"/>
          <w:szCs w:val="24"/>
        </w:rPr>
      </w:pPr>
      <w:r>
        <w:rPr>
          <w:rFonts w:ascii="Bookman Old Style" w:hAnsi="Bookman Old Style"/>
          <w:sz w:val="24"/>
          <w:szCs w:val="24"/>
        </w:rPr>
        <w:t xml:space="preserve">3.1. </w:t>
      </w:r>
      <w:proofErr w:type="gramStart"/>
      <w:r>
        <w:rPr>
          <w:rFonts w:ascii="Bookman Old Style" w:hAnsi="Bookman Old Style"/>
          <w:sz w:val="24"/>
          <w:szCs w:val="24"/>
        </w:rPr>
        <w:t>en</w:t>
      </w:r>
      <w:proofErr w:type="gramEnd"/>
      <w:r>
        <w:rPr>
          <w:rFonts w:ascii="Bookman Old Style" w:hAnsi="Bookman Old Style"/>
          <w:sz w:val="24"/>
          <w:szCs w:val="24"/>
        </w:rPr>
        <w:t xml:space="preserve"> qué consistieron los delito</w:t>
      </w:r>
      <w:r w:rsidR="002C6FA6">
        <w:rPr>
          <w:rFonts w:ascii="Bookman Old Style" w:hAnsi="Bookman Old Style"/>
          <w:sz w:val="24"/>
          <w:szCs w:val="24"/>
        </w:rPr>
        <w:t>s</w:t>
      </w:r>
      <w:r>
        <w:rPr>
          <w:rFonts w:ascii="Bookman Old Style" w:hAnsi="Bookman Old Style"/>
          <w:sz w:val="24"/>
          <w:szCs w:val="24"/>
        </w:rPr>
        <w:t xml:space="preserve"> de falsedad ideológica del documento público y supresión del estado civil y retención de un menor de 10 años?</w:t>
      </w:r>
    </w:p>
    <w:p w:rsidR="003D72BB" w:rsidRDefault="003D72BB" w:rsidP="00D87009">
      <w:pPr>
        <w:jc w:val="both"/>
        <w:rPr>
          <w:rFonts w:ascii="Bookman Old Style" w:hAnsi="Bookman Old Style"/>
          <w:sz w:val="24"/>
          <w:szCs w:val="24"/>
        </w:rPr>
      </w:pPr>
      <w:r>
        <w:rPr>
          <w:rFonts w:ascii="Bookman Old Style" w:hAnsi="Bookman Old Style"/>
          <w:sz w:val="24"/>
          <w:szCs w:val="24"/>
        </w:rPr>
        <w:t>3.2. Cómo incide la m</w:t>
      </w:r>
      <w:r w:rsidR="00FC0109">
        <w:rPr>
          <w:rFonts w:ascii="Bookman Old Style" w:hAnsi="Bookman Old Style"/>
          <w:sz w:val="24"/>
          <w:szCs w:val="24"/>
        </w:rPr>
        <w:t>a</w:t>
      </w:r>
      <w:r>
        <w:rPr>
          <w:rFonts w:ascii="Bookman Old Style" w:hAnsi="Bookman Old Style"/>
          <w:sz w:val="24"/>
          <w:szCs w:val="24"/>
        </w:rPr>
        <w:t>yoría de edad</w:t>
      </w:r>
      <w:r w:rsidR="00FC0109">
        <w:rPr>
          <w:rFonts w:ascii="Bookman Old Style" w:hAnsi="Bookman Old Style"/>
          <w:sz w:val="24"/>
          <w:szCs w:val="24"/>
        </w:rPr>
        <w:t xml:space="preserve"> en la prueba compulsiva de sangre</w:t>
      </w:r>
      <w:proofErr w:type="gramStart"/>
      <w:r w:rsidR="00FC0109">
        <w:rPr>
          <w:rFonts w:ascii="Bookman Old Style" w:hAnsi="Bookman Old Style"/>
          <w:sz w:val="24"/>
          <w:szCs w:val="24"/>
        </w:rPr>
        <w:t>?</w:t>
      </w:r>
      <w:proofErr w:type="gramEnd"/>
    </w:p>
    <w:p w:rsidR="00FC0109" w:rsidRDefault="00FC0109" w:rsidP="00D87009">
      <w:pPr>
        <w:jc w:val="both"/>
        <w:rPr>
          <w:rFonts w:ascii="Bookman Old Style" w:hAnsi="Bookman Old Style"/>
          <w:sz w:val="24"/>
          <w:szCs w:val="24"/>
        </w:rPr>
      </w:pPr>
      <w:r>
        <w:rPr>
          <w:rFonts w:ascii="Bookman Old Style" w:hAnsi="Bookman Old Style"/>
          <w:sz w:val="24"/>
          <w:szCs w:val="24"/>
        </w:rPr>
        <w:t>3.3. cuál es la responsabilidad del Estado</w:t>
      </w:r>
      <w:proofErr w:type="gramStart"/>
      <w:r>
        <w:rPr>
          <w:rFonts w:ascii="Bookman Old Style" w:hAnsi="Bookman Old Style"/>
          <w:sz w:val="24"/>
          <w:szCs w:val="24"/>
        </w:rPr>
        <w:t>?</w:t>
      </w:r>
      <w:proofErr w:type="gramEnd"/>
      <w:r>
        <w:rPr>
          <w:rFonts w:ascii="Bookman Old Style" w:hAnsi="Bookman Old Style"/>
          <w:sz w:val="24"/>
          <w:szCs w:val="24"/>
        </w:rPr>
        <w:t xml:space="preserve"> </w:t>
      </w:r>
    </w:p>
    <w:p w:rsidR="00FC0109" w:rsidRDefault="00FC0109" w:rsidP="00D87009">
      <w:pPr>
        <w:jc w:val="both"/>
        <w:rPr>
          <w:rFonts w:ascii="Bookman Old Style" w:hAnsi="Bookman Old Style"/>
          <w:sz w:val="24"/>
          <w:szCs w:val="24"/>
        </w:rPr>
      </w:pPr>
      <w:r>
        <w:rPr>
          <w:rFonts w:ascii="Bookman Old Style" w:hAnsi="Bookman Old Style"/>
          <w:sz w:val="24"/>
          <w:szCs w:val="24"/>
        </w:rPr>
        <w:t>4.- “SIMON”</w:t>
      </w:r>
    </w:p>
    <w:p w:rsidR="00FC0109" w:rsidRDefault="00FC0109" w:rsidP="00D87009">
      <w:pPr>
        <w:jc w:val="both"/>
        <w:rPr>
          <w:rFonts w:ascii="Bookman Old Style" w:hAnsi="Bookman Old Style"/>
          <w:sz w:val="24"/>
          <w:szCs w:val="24"/>
        </w:rPr>
      </w:pPr>
      <w:r>
        <w:rPr>
          <w:rFonts w:ascii="Bookman Old Style" w:hAnsi="Bookman Old Style"/>
          <w:sz w:val="24"/>
          <w:szCs w:val="24"/>
        </w:rPr>
        <w:t>4.1. cuál es la importancia de este fallo en materia de DDHH?</w:t>
      </w:r>
    </w:p>
    <w:p w:rsidR="00FC0109" w:rsidRDefault="00FC0109" w:rsidP="00D87009">
      <w:pPr>
        <w:jc w:val="both"/>
        <w:rPr>
          <w:rFonts w:ascii="Bookman Old Style" w:hAnsi="Bookman Old Style"/>
          <w:sz w:val="24"/>
          <w:szCs w:val="24"/>
        </w:rPr>
      </w:pPr>
      <w:r>
        <w:rPr>
          <w:rFonts w:ascii="Bookman Old Style" w:hAnsi="Bookman Old Style"/>
          <w:sz w:val="24"/>
          <w:szCs w:val="24"/>
        </w:rPr>
        <w:t>4.2. cuáles son los límites a las facultades del Poder Legislativo en materia de amnistías generales</w:t>
      </w:r>
      <w:proofErr w:type="gramStart"/>
      <w:r>
        <w:rPr>
          <w:rFonts w:ascii="Bookman Old Style" w:hAnsi="Bookman Old Style"/>
          <w:sz w:val="24"/>
          <w:szCs w:val="24"/>
        </w:rPr>
        <w:t>?</w:t>
      </w:r>
      <w:proofErr w:type="gramEnd"/>
    </w:p>
    <w:p w:rsidR="00FC0109" w:rsidRDefault="00FC0109" w:rsidP="00D87009">
      <w:pPr>
        <w:jc w:val="both"/>
        <w:rPr>
          <w:rFonts w:ascii="Bookman Old Style" w:hAnsi="Bookman Old Style"/>
          <w:sz w:val="24"/>
          <w:szCs w:val="24"/>
        </w:rPr>
      </w:pPr>
      <w:r>
        <w:rPr>
          <w:rFonts w:ascii="Bookman Old Style" w:hAnsi="Bookman Old Style"/>
          <w:sz w:val="24"/>
          <w:szCs w:val="24"/>
        </w:rPr>
        <w:t>4.3. Qué rol juegan los principios de imprescriptibilidad de la acción penal en delitos de lesa humanidad y de la irretroactividad de la ley penal</w:t>
      </w:r>
      <w:proofErr w:type="gramStart"/>
      <w:r>
        <w:rPr>
          <w:rFonts w:ascii="Bookman Old Style" w:hAnsi="Bookman Old Style"/>
          <w:sz w:val="24"/>
          <w:szCs w:val="24"/>
        </w:rPr>
        <w:t>?</w:t>
      </w:r>
      <w:proofErr w:type="gramEnd"/>
    </w:p>
    <w:p w:rsidR="00FC0109" w:rsidRDefault="00FC0109" w:rsidP="00D87009">
      <w:pPr>
        <w:jc w:val="both"/>
        <w:rPr>
          <w:rFonts w:ascii="Bookman Old Style" w:hAnsi="Bookman Old Style"/>
          <w:sz w:val="24"/>
          <w:szCs w:val="24"/>
        </w:rPr>
      </w:pPr>
      <w:r>
        <w:rPr>
          <w:rFonts w:ascii="Bookman Old Style" w:hAnsi="Bookman Old Style"/>
          <w:sz w:val="24"/>
          <w:szCs w:val="24"/>
        </w:rPr>
        <w:lastRenderedPageBreak/>
        <w:t>4.4. cuál es el valor  de la declaración de nulidad de la ley 25.779</w:t>
      </w:r>
      <w:proofErr w:type="gramStart"/>
      <w:r w:rsidR="0004131C">
        <w:rPr>
          <w:rFonts w:ascii="Bookman Old Style" w:hAnsi="Bookman Old Style"/>
          <w:sz w:val="24"/>
          <w:szCs w:val="24"/>
        </w:rPr>
        <w:t>?.</w:t>
      </w:r>
      <w:proofErr w:type="gramEnd"/>
    </w:p>
    <w:p w:rsidR="0004131C" w:rsidRDefault="0004131C" w:rsidP="00D87009">
      <w:pPr>
        <w:jc w:val="both"/>
        <w:rPr>
          <w:rFonts w:ascii="Bookman Old Style" w:hAnsi="Bookman Old Style"/>
          <w:sz w:val="24"/>
          <w:szCs w:val="24"/>
        </w:rPr>
      </w:pPr>
      <w:r>
        <w:rPr>
          <w:rFonts w:ascii="Bookman Old Style" w:hAnsi="Bookman Old Style"/>
          <w:sz w:val="24"/>
          <w:szCs w:val="24"/>
        </w:rPr>
        <w:t xml:space="preserve">5.- “MAZZEO” </w:t>
      </w:r>
      <w:r>
        <w:rPr>
          <w:rStyle w:val="Refdenotaalpie"/>
          <w:rFonts w:ascii="Bookman Old Style" w:hAnsi="Bookman Old Style"/>
          <w:sz w:val="24"/>
          <w:szCs w:val="24"/>
        </w:rPr>
        <w:footnoteReference w:id="1"/>
      </w:r>
    </w:p>
    <w:p w:rsidR="0004131C" w:rsidRDefault="0004131C" w:rsidP="00D87009">
      <w:pPr>
        <w:jc w:val="both"/>
        <w:rPr>
          <w:rFonts w:ascii="Bookman Old Style" w:hAnsi="Bookman Old Style"/>
          <w:sz w:val="24"/>
          <w:szCs w:val="24"/>
        </w:rPr>
      </w:pPr>
      <w:r>
        <w:rPr>
          <w:rFonts w:ascii="Bookman Old Style" w:hAnsi="Bookman Old Style"/>
          <w:sz w:val="24"/>
          <w:szCs w:val="24"/>
        </w:rPr>
        <w:t>5.1. cuál es el desarrollo que se hace en este caso sobre la garantía del Juez natural</w:t>
      </w:r>
      <w:proofErr w:type="gramStart"/>
      <w:r>
        <w:rPr>
          <w:rFonts w:ascii="Bookman Old Style" w:hAnsi="Bookman Old Style"/>
          <w:sz w:val="24"/>
          <w:szCs w:val="24"/>
        </w:rPr>
        <w:t>?</w:t>
      </w:r>
      <w:proofErr w:type="gramEnd"/>
    </w:p>
    <w:p w:rsidR="0004131C" w:rsidRDefault="0004131C" w:rsidP="00D87009">
      <w:pPr>
        <w:jc w:val="both"/>
        <w:rPr>
          <w:rFonts w:ascii="Bookman Old Style" w:hAnsi="Bookman Old Style"/>
          <w:sz w:val="24"/>
          <w:szCs w:val="24"/>
        </w:rPr>
      </w:pPr>
      <w:r>
        <w:rPr>
          <w:rFonts w:ascii="Bookman Old Style" w:hAnsi="Bookman Old Style"/>
          <w:sz w:val="24"/>
          <w:szCs w:val="24"/>
        </w:rPr>
        <w:t>5.2. Cuáles son los límites al PE en los indultos</w:t>
      </w:r>
      <w:proofErr w:type="gramStart"/>
      <w:r>
        <w:rPr>
          <w:rFonts w:ascii="Bookman Old Style" w:hAnsi="Bookman Old Style"/>
          <w:sz w:val="24"/>
          <w:szCs w:val="24"/>
        </w:rPr>
        <w:t>?</w:t>
      </w:r>
      <w:proofErr w:type="gramEnd"/>
    </w:p>
    <w:p w:rsidR="0004131C" w:rsidRDefault="0004131C" w:rsidP="00D87009">
      <w:pPr>
        <w:jc w:val="both"/>
        <w:rPr>
          <w:rFonts w:ascii="Bookman Old Style" w:hAnsi="Bookman Old Style"/>
          <w:sz w:val="24"/>
          <w:szCs w:val="24"/>
        </w:rPr>
      </w:pPr>
      <w:r>
        <w:rPr>
          <w:rFonts w:ascii="Bookman Old Style" w:hAnsi="Bookman Old Style"/>
          <w:sz w:val="24"/>
          <w:szCs w:val="24"/>
        </w:rPr>
        <w:t xml:space="preserve">5.3. cuál es el alcance de la garantía constitucional de cosa juzgada y </w:t>
      </w:r>
      <w:proofErr w:type="spellStart"/>
      <w:r>
        <w:rPr>
          <w:rFonts w:ascii="Bookman Old Style" w:hAnsi="Bookman Old Style"/>
          <w:sz w:val="24"/>
          <w:szCs w:val="24"/>
        </w:rPr>
        <w:t>nen</w:t>
      </w:r>
      <w:proofErr w:type="spellEnd"/>
      <w:r>
        <w:rPr>
          <w:rFonts w:ascii="Bookman Old Style" w:hAnsi="Bookman Old Style"/>
          <w:sz w:val="24"/>
          <w:szCs w:val="24"/>
        </w:rPr>
        <w:t xml:space="preserve"> </w:t>
      </w:r>
      <w:proofErr w:type="spellStart"/>
      <w:r>
        <w:rPr>
          <w:rFonts w:ascii="Bookman Old Style" w:hAnsi="Bookman Old Style"/>
          <w:sz w:val="24"/>
          <w:szCs w:val="24"/>
        </w:rPr>
        <w:t>vis</w:t>
      </w:r>
      <w:proofErr w:type="spellEnd"/>
      <w:r>
        <w:rPr>
          <w:rFonts w:ascii="Bookman Old Style" w:hAnsi="Bookman Old Style"/>
          <w:sz w:val="24"/>
          <w:szCs w:val="24"/>
        </w:rPr>
        <w:t xml:space="preserve"> in ídem?</w:t>
      </w:r>
    </w:p>
    <w:p w:rsidR="0004131C" w:rsidRDefault="0004131C" w:rsidP="00D87009">
      <w:pPr>
        <w:jc w:val="both"/>
        <w:rPr>
          <w:rFonts w:ascii="Bookman Old Style" w:hAnsi="Bookman Old Style"/>
          <w:sz w:val="24"/>
          <w:szCs w:val="24"/>
        </w:rPr>
      </w:pPr>
      <w:r>
        <w:rPr>
          <w:rFonts w:ascii="Bookman Old Style" w:hAnsi="Bookman Old Style"/>
          <w:sz w:val="24"/>
          <w:szCs w:val="24"/>
        </w:rPr>
        <w:t>5.4. Cuál es el sustento jurídico de la estabilidad de las decisiones jurisdiccionales</w:t>
      </w:r>
      <w:proofErr w:type="gramStart"/>
      <w:r>
        <w:rPr>
          <w:rFonts w:ascii="Bookman Old Style" w:hAnsi="Bookman Old Style"/>
          <w:sz w:val="24"/>
          <w:szCs w:val="24"/>
        </w:rPr>
        <w:t>?</w:t>
      </w:r>
      <w:proofErr w:type="gramEnd"/>
    </w:p>
    <w:p w:rsidR="0004131C" w:rsidRDefault="0004131C" w:rsidP="00D87009">
      <w:pPr>
        <w:jc w:val="both"/>
        <w:rPr>
          <w:rFonts w:ascii="Bookman Old Style" w:hAnsi="Bookman Old Style"/>
          <w:sz w:val="24"/>
          <w:szCs w:val="24"/>
        </w:rPr>
      </w:pPr>
      <w:r>
        <w:rPr>
          <w:rFonts w:ascii="Bookman Old Style" w:hAnsi="Bookman Old Style"/>
          <w:sz w:val="24"/>
          <w:szCs w:val="24"/>
        </w:rPr>
        <w:t>6.- “JOFRE”</w:t>
      </w:r>
    </w:p>
    <w:p w:rsidR="0004131C" w:rsidRDefault="0004131C" w:rsidP="00D87009">
      <w:pPr>
        <w:jc w:val="both"/>
        <w:rPr>
          <w:rFonts w:ascii="Bookman Old Style" w:hAnsi="Bookman Old Style"/>
          <w:sz w:val="24"/>
          <w:szCs w:val="24"/>
        </w:rPr>
      </w:pPr>
      <w:r>
        <w:rPr>
          <w:rFonts w:ascii="Bookman Old Style" w:hAnsi="Bookman Old Style"/>
          <w:sz w:val="24"/>
          <w:szCs w:val="24"/>
        </w:rPr>
        <w:t>6.1. cuáles son las características de los delitos continuados</w:t>
      </w:r>
      <w:proofErr w:type="gramStart"/>
      <w:r>
        <w:rPr>
          <w:rFonts w:ascii="Bookman Old Style" w:hAnsi="Bookman Old Style"/>
          <w:sz w:val="24"/>
          <w:szCs w:val="24"/>
        </w:rPr>
        <w:t>?</w:t>
      </w:r>
      <w:proofErr w:type="gramEnd"/>
      <w:r>
        <w:rPr>
          <w:rFonts w:ascii="Bookman Old Style" w:hAnsi="Bookman Old Style"/>
          <w:sz w:val="24"/>
          <w:szCs w:val="24"/>
        </w:rPr>
        <w:t>, qué sostienen los jueces en disidencia?</w:t>
      </w:r>
    </w:p>
    <w:p w:rsidR="0004131C" w:rsidRDefault="0004131C" w:rsidP="00D87009">
      <w:pPr>
        <w:jc w:val="both"/>
        <w:rPr>
          <w:rFonts w:ascii="Bookman Old Style" w:hAnsi="Bookman Old Style"/>
          <w:sz w:val="24"/>
          <w:szCs w:val="24"/>
        </w:rPr>
      </w:pPr>
      <w:r>
        <w:rPr>
          <w:rFonts w:ascii="Bookman Old Style" w:hAnsi="Bookman Old Style"/>
          <w:sz w:val="24"/>
          <w:szCs w:val="24"/>
        </w:rPr>
        <w:t>6.2. Se trató el sub judice de una sucesión de leyes penales</w:t>
      </w:r>
      <w:proofErr w:type="gramStart"/>
      <w:r>
        <w:rPr>
          <w:rFonts w:ascii="Bookman Old Style" w:hAnsi="Bookman Old Style"/>
          <w:sz w:val="24"/>
          <w:szCs w:val="24"/>
        </w:rPr>
        <w:t>?</w:t>
      </w:r>
      <w:proofErr w:type="gramEnd"/>
    </w:p>
    <w:p w:rsidR="0004131C" w:rsidRDefault="00305148" w:rsidP="00D87009">
      <w:pPr>
        <w:jc w:val="both"/>
        <w:rPr>
          <w:rFonts w:ascii="Bookman Old Style" w:hAnsi="Bookman Old Style"/>
          <w:sz w:val="24"/>
          <w:szCs w:val="24"/>
        </w:rPr>
      </w:pPr>
      <w:r>
        <w:rPr>
          <w:rFonts w:ascii="Bookman Old Style" w:hAnsi="Bookman Old Style"/>
          <w:sz w:val="24"/>
          <w:szCs w:val="24"/>
        </w:rPr>
        <w:t>7.- BARRIOS ALTOS</w:t>
      </w:r>
    </w:p>
    <w:p w:rsidR="00305148" w:rsidRDefault="00305148" w:rsidP="00D87009">
      <w:pPr>
        <w:jc w:val="both"/>
        <w:rPr>
          <w:rFonts w:ascii="Bookman Old Style" w:hAnsi="Bookman Old Style"/>
          <w:sz w:val="24"/>
          <w:szCs w:val="24"/>
        </w:rPr>
      </w:pPr>
      <w:r>
        <w:rPr>
          <w:rFonts w:ascii="Bookman Old Style" w:hAnsi="Bookman Old Style"/>
          <w:sz w:val="24"/>
          <w:szCs w:val="24"/>
        </w:rPr>
        <w:t>7.1. cuáles son las obligaciones de los Estados</w:t>
      </w:r>
      <w:proofErr w:type="gramStart"/>
      <w:r>
        <w:rPr>
          <w:rFonts w:ascii="Bookman Old Style" w:hAnsi="Bookman Old Style"/>
          <w:sz w:val="24"/>
          <w:szCs w:val="24"/>
        </w:rPr>
        <w:t>?</w:t>
      </w:r>
      <w:proofErr w:type="gramEnd"/>
    </w:p>
    <w:p w:rsidR="00305148" w:rsidRDefault="00305148" w:rsidP="00D87009">
      <w:pPr>
        <w:jc w:val="both"/>
        <w:rPr>
          <w:rFonts w:ascii="Bookman Old Style" w:hAnsi="Bookman Old Style"/>
          <w:sz w:val="24"/>
          <w:szCs w:val="24"/>
        </w:rPr>
      </w:pPr>
      <w:r>
        <w:rPr>
          <w:rFonts w:ascii="Bookman Old Style" w:hAnsi="Bookman Old Style"/>
          <w:sz w:val="24"/>
          <w:szCs w:val="24"/>
        </w:rPr>
        <w:t xml:space="preserve">7.2. Se vio afectado el </w:t>
      </w:r>
      <w:proofErr w:type="spellStart"/>
      <w:r>
        <w:rPr>
          <w:rFonts w:ascii="Bookman Old Style" w:hAnsi="Bookman Old Style"/>
          <w:sz w:val="24"/>
          <w:szCs w:val="24"/>
        </w:rPr>
        <w:t>ius</w:t>
      </w:r>
      <w:proofErr w:type="spellEnd"/>
      <w:r>
        <w:rPr>
          <w:rFonts w:ascii="Bookman Old Style" w:hAnsi="Bookman Old Style"/>
          <w:sz w:val="24"/>
          <w:szCs w:val="24"/>
        </w:rPr>
        <w:t xml:space="preserve"> </w:t>
      </w:r>
      <w:proofErr w:type="spellStart"/>
      <w:r>
        <w:rPr>
          <w:rFonts w:ascii="Bookman Old Style" w:hAnsi="Bookman Old Style"/>
          <w:sz w:val="24"/>
          <w:szCs w:val="24"/>
        </w:rPr>
        <w:t>cogens</w:t>
      </w:r>
      <w:proofErr w:type="spellEnd"/>
      <w:proofErr w:type="gramStart"/>
      <w:r>
        <w:rPr>
          <w:rFonts w:ascii="Bookman Old Style" w:hAnsi="Bookman Old Style"/>
          <w:sz w:val="24"/>
          <w:szCs w:val="24"/>
        </w:rPr>
        <w:t>?</w:t>
      </w:r>
      <w:proofErr w:type="gramEnd"/>
    </w:p>
    <w:p w:rsidR="00305148" w:rsidRPr="00D447FA" w:rsidRDefault="00305148" w:rsidP="00D87009">
      <w:pPr>
        <w:jc w:val="both"/>
        <w:rPr>
          <w:rFonts w:ascii="Bookman Old Style" w:hAnsi="Bookman Old Style"/>
          <w:sz w:val="24"/>
          <w:szCs w:val="24"/>
        </w:rPr>
      </w:pPr>
      <w:r>
        <w:rPr>
          <w:rFonts w:ascii="Bookman Old Style" w:hAnsi="Bookman Old Style"/>
          <w:sz w:val="24"/>
          <w:szCs w:val="24"/>
        </w:rPr>
        <w:t xml:space="preserve">7.3. Debe privilegiarse el derecho a </w:t>
      </w:r>
      <w:proofErr w:type="spellStart"/>
      <w:r>
        <w:rPr>
          <w:rFonts w:ascii="Bookman Old Style" w:hAnsi="Bookman Old Style"/>
          <w:sz w:val="24"/>
          <w:szCs w:val="24"/>
        </w:rPr>
        <w:t>al</w:t>
      </w:r>
      <w:proofErr w:type="spellEnd"/>
      <w:r>
        <w:rPr>
          <w:rFonts w:ascii="Bookman Old Style" w:hAnsi="Bookman Old Style"/>
          <w:sz w:val="24"/>
          <w:szCs w:val="24"/>
        </w:rPr>
        <w:t xml:space="preserve"> verdad</w:t>
      </w:r>
      <w:proofErr w:type="gramStart"/>
      <w:r>
        <w:rPr>
          <w:rFonts w:ascii="Bookman Old Style" w:hAnsi="Bookman Old Style"/>
          <w:sz w:val="24"/>
          <w:szCs w:val="24"/>
        </w:rPr>
        <w:t>?</w:t>
      </w:r>
      <w:proofErr w:type="gramEnd"/>
      <w:r>
        <w:rPr>
          <w:rFonts w:ascii="Bookman Old Style" w:hAnsi="Bookman Old Style"/>
          <w:sz w:val="24"/>
          <w:szCs w:val="24"/>
        </w:rPr>
        <w:t xml:space="preserve"> Por qué?.</w:t>
      </w:r>
      <w:bookmarkStart w:id="0" w:name="_GoBack"/>
      <w:bookmarkEnd w:id="0"/>
    </w:p>
    <w:p w:rsidR="00B00087" w:rsidRDefault="00B00087"/>
    <w:p w:rsidR="00B00087" w:rsidRDefault="00B00087">
      <w:r>
        <w:t>SANTA FE, marzo de 2014.-</w:t>
      </w:r>
    </w:p>
    <w:sectPr w:rsidR="00B000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A8" w:rsidRDefault="006E01A8" w:rsidP="0004131C">
      <w:pPr>
        <w:spacing w:after="0" w:line="240" w:lineRule="auto"/>
      </w:pPr>
      <w:r>
        <w:separator/>
      </w:r>
    </w:p>
  </w:endnote>
  <w:endnote w:type="continuationSeparator" w:id="0">
    <w:p w:rsidR="006E01A8" w:rsidRDefault="006E01A8" w:rsidP="0004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A8" w:rsidRDefault="006E01A8" w:rsidP="0004131C">
      <w:pPr>
        <w:spacing w:after="0" w:line="240" w:lineRule="auto"/>
      </w:pPr>
      <w:r>
        <w:separator/>
      </w:r>
    </w:p>
  </w:footnote>
  <w:footnote w:type="continuationSeparator" w:id="0">
    <w:p w:rsidR="006E01A8" w:rsidRDefault="006E01A8" w:rsidP="0004131C">
      <w:pPr>
        <w:spacing w:after="0" w:line="240" w:lineRule="auto"/>
      </w:pPr>
      <w:r>
        <w:continuationSeparator/>
      </w:r>
    </w:p>
  </w:footnote>
  <w:footnote w:id="1">
    <w:p w:rsidR="0004131C" w:rsidRDefault="0004131C">
      <w:pPr>
        <w:pStyle w:val="Textonotapie"/>
      </w:pPr>
      <w:r>
        <w:rPr>
          <w:rStyle w:val="Refdenotaalpie"/>
        </w:rPr>
        <w:footnoteRef/>
      </w:r>
      <w:r>
        <w:t xml:space="preserve"> Ver artículo “</w:t>
      </w:r>
      <w:proofErr w:type="spellStart"/>
      <w:r>
        <w:t>Vanalidades</w:t>
      </w:r>
      <w:proofErr w:type="spellEnd"/>
      <w:r>
        <w:t xml:space="preserve"> de monarca en épocas de aspiraciones republicanas” (</w:t>
      </w:r>
      <w:proofErr w:type="spellStart"/>
      <w:r>
        <w:t>Uberti</w:t>
      </w:r>
      <w:proofErr w:type="spellEnd"/>
      <w:r>
        <w:t>,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87"/>
    <w:rsid w:val="0004131C"/>
    <w:rsid w:val="002C6FA6"/>
    <w:rsid w:val="002F14A7"/>
    <w:rsid w:val="00305148"/>
    <w:rsid w:val="003D72BB"/>
    <w:rsid w:val="00560BED"/>
    <w:rsid w:val="006E01A8"/>
    <w:rsid w:val="00846CB9"/>
    <w:rsid w:val="00B00087"/>
    <w:rsid w:val="00D447FA"/>
    <w:rsid w:val="00D80976"/>
    <w:rsid w:val="00D87009"/>
    <w:rsid w:val="00FC01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413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131C"/>
    <w:rPr>
      <w:sz w:val="20"/>
      <w:szCs w:val="20"/>
    </w:rPr>
  </w:style>
  <w:style w:type="character" w:styleId="Refdenotaalpie">
    <w:name w:val="footnote reference"/>
    <w:basedOn w:val="Fuentedeprrafopredeter"/>
    <w:uiPriority w:val="99"/>
    <w:semiHidden/>
    <w:unhideWhenUsed/>
    <w:rsid w:val="000413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413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131C"/>
    <w:rPr>
      <w:sz w:val="20"/>
      <w:szCs w:val="20"/>
    </w:rPr>
  </w:style>
  <w:style w:type="character" w:styleId="Refdenotaalpie">
    <w:name w:val="footnote reference"/>
    <w:basedOn w:val="Fuentedeprrafopredeter"/>
    <w:uiPriority w:val="99"/>
    <w:semiHidden/>
    <w:unhideWhenUsed/>
    <w:rsid w:val="00041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E6B9-FEC4-495F-BA3A-B27E738E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dc:creator>
  <cp:lastModifiedBy>Mariela</cp:lastModifiedBy>
  <cp:revision>3</cp:revision>
  <dcterms:created xsi:type="dcterms:W3CDTF">2014-03-24T22:23:00Z</dcterms:created>
  <dcterms:modified xsi:type="dcterms:W3CDTF">2014-03-25T02:40:00Z</dcterms:modified>
</cp:coreProperties>
</file>